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Основная общеобразовательная программа дошкольного образования структурного подразделения «Детский сад»  МАОУ СОШ № 11   г.  Балаково    Саратовской  области  (Далее  –  ООП  ДО)  разработана  в соответствии с ФГОС ДО, с учетом примерной основной образовательной  программы «От рождения до школы», под редакцией Н. Е. Вераксы, Т. С. Комаровой, М. А. Васильевой, 2014г. и на основе  парциальной программы «Предшкола  нового поколения» с учебно-методическим комплектом, составитель профессор Р.Г. Чуракова, авторы программ О.А.Захарова, Н.А.Чуракова, И.С.Рукавишников, А.К.Сундукова, О.В.Малаховская, О.Н.Федотова, Т.Г.Раджувейт, Л.В.Харазова, Л.Г.Кудрова. 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</w:pP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Программа «От рождения до школы»: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</w:pPr>
      <w:r>
        <w:rPr>
          <w:rFonts w:ascii="Times New Roman" w:cs="Times New Roman" w:hAnsi="Times New Roman"/>
          <w:b/>
          <w:i/>
          <w:sz w:val="24"/>
          <w:szCs w:val="24"/>
        </w:rPr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соответствует принципу развивающего образования, целью которого является развитие ребенка;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 соответствует  основным  положениям  возрастной  психологии  и  дошкольной педагогики);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соответствует  критериям  полноты,  необходимости  и  достаточности  (позволяя  решать поставленные цели и задачи при использовании разумного «минимума» материала);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обеспечивает  единство  воспитательных,  развивающих  и  обучающих  целей  и 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строится  с  учетом  принципа  интеграции  образовательных  областей  в  соответствии  с возрастными  возможностями  и  особенностями  детей,  спецификой  и  возможностями образовательных областей;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основывается  на  комплексно-тематическом  принципе  построения  образовательного процесса;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предусматривает  решение  программных  образовательных  задач  в  совместной деятельности взрослого и детей и самостоятельной деятельности дошкольников не только в рамках  непосредственно  образовательной  деятельности,  но  и  при  проведении  режимных моментов;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основной формой работы с дошкольниками и ведущим видом их деятельности является игра;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 xml:space="preserve">допускает  варьирование  образовательного  процесса  в  зависимости  от  региональных особенностей; </w:t>
      </w:r>
    </w:p>
    <w:p>
      <w:pPr>
        <w:pStyle w:val="style0"/>
        <w:spacing w:after="0" w:before="0" w:line="100" w:lineRule="atLeast"/>
        <w:ind w:firstLine="284" w:left="-426" w:right="0"/>
        <w:contextualSpacing w:val="false"/>
        <w:jc w:val="both"/>
      </w:pPr>
      <w:r>
        <w:rPr>
          <w:rFonts w:ascii="Times New Roman" w:cs="Times New Roman" w:hAnsi="Times New Roman"/>
          <w:i/>
          <w:sz w:val="24"/>
          <w:szCs w:val="24"/>
        </w:rPr>
        <w:t xml:space="preserve">•  </w:t>
      </w:r>
      <w:r>
        <w:rPr>
          <w:rFonts w:ascii="Times New Roman" w:cs="Times New Roman" w:hAnsi="Times New Roman"/>
          <w:i/>
          <w:sz w:val="24"/>
          <w:szCs w:val="24"/>
        </w:rPr>
        <w:t>строится  с  учетом  соблюдения  преемственности  между  всеми  возрастными дошкольными группами и между детским садом и начальной школой.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Основная общеобразовательная программа дошкольного образования реализуется  в пяти образовательных областях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Социально-коммуникативное развитие;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Познавательное развитие;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Речевое развитие;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Художественно-эстетическое развитие;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Физическое развитие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cs="Times New Roman" w:hAnsi="Times New Roman"/>
          <w:b/>
          <w:i/>
          <w:sz w:val="24"/>
          <w:szCs w:val="24"/>
        </w:rPr>
        <w:t>В соответствии с основной идеей общеобразовательной программы дошкольного образования, парциальные программы нацеливают педагогов и родителей на полноценное общее развитие детей, их позитивную социализацию, а также достижение необходимого уровня подготовки к обучению в школе.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ListLabel 1"/>
    <w:next w:val="style18"/>
    <w:rPr>
      <w:sz w:val="20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Normal (Web)"/>
    <w:basedOn w:val="style0"/>
    <w:next w:val="style2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2016-09-20T08:32:00.00Z</dcterms:created>
  <dc:creator>Путинцева</dc:creator>
  <cp:lastModifiedBy>Путинцева</cp:lastModifiedBy>
  <dcterms:modified xsi:type="dcterms:W3CDTF">2016-09-23T08:55:00.00Z</dcterms:modified>
  <cp:revision>4</cp:revision>
</cp:coreProperties>
</file>